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xmlns:wp14="http://schemas.microsoft.com/office/word/2010/wordml" w:rsidRPr="003268E1" w:rsidR="007639EB" w:rsidP="007639EB" w:rsidRDefault="007639EB" w14:paraId="6CBBC468" wp14:textId="77777777">
      <w:pPr>
        <w:spacing w:after="0" w:line="240" w:lineRule="auto"/>
        <w:jc w:val="center"/>
        <w:rPr>
          <w:rFonts w:ascii="Arial Narrow" w:hAnsi="Arial Narrow"/>
          <w:b/>
          <w:sz w:val="28"/>
          <w:u w:val="single"/>
        </w:rPr>
      </w:pPr>
      <w:r w:rsidRPr="003268E1">
        <w:rPr>
          <w:rFonts w:ascii="Arial Narrow" w:hAnsi="Arial Narrow"/>
          <w:b/>
          <w:sz w:val="32"/>
          <w:u w:val="single"/>
        </w:rPr>
        <w:t>A Level Drama and Theatre Studies</w:t>
      </w:r>
      <w:r w:rsidR="00A81D72">
        <w:rPr>
          <w:rFonts w:ascii="Arial Narrow" w:hAnsi="Arial Narrow"/>
          <w:b/>
          <w:sz w:val="32"/>
          <w:u w:val="single"/>
        </w:rPr>
        <w:t xml:space="preserve">: Transition Tasks </w:t>
      </w:r>
      <w:r w:rsidRPr="003268E1">
        <w:rPr>
          <w:rFonts w:ascii="Arial Narrow" w:hAnsi="Arial Narrow"/>
          <w:b/>
          <w:sz w:val="28"/>
          <w:u w:val="single"/>
        </w:rPr>
        <w:t xml:space="preserve"> </w:t>
      </w:r>
    </w:p>
    <w:p xmlns:wp14="http://schemas.microsoft.com/office/word/2010/wordml" w:rsidR="00D63E37" w:rsidRDefault="00D63E37" w14:paraId="672A6659" wp14:textId="77777777"/>
    <w:p xmlns:wp14="http://schemas.microsoft.com/office/word/2010/wordml" w:rsidR="007639EB" w:rsidRDefault="007639EB" w14:paraId="353C5D22" wp14:textId="1B3A0578">
      <w:r w:rsidR="007639EB">
        <w:rPr/>
        <w:t xml:space="preserve">Between now and September, there are a number of tasks that I would like you to </w:t>
      </w:r>
      <w:r w:rsidR="7E4BED33">
        <w:rPr/>
        <w:t xml:space="preserve">dip </w:t>
      </w:r>
      <w:r w:rsidR="7E4BED33">
        <w:rPr/>
        <w:t>into</w:t>
      </w:r>
      <w:r w:rsidR="007639EB">
        <w:rPr/>
        <w:t xml:space="preserve"> so</w:t>
      </w:r>
      <w:r w:rsidR="007639EB">
        <w:rPr/>
        <w:t xml:space="preserve"> that you are prepared and ready to dive into the work when Year 12 begins.</w:t>
      </w:r>
    </w:p>
    <w:p xmlns:wp14="http://schemas.microsoft.com/office/word/2010/wordml" w:rsidR="007639EB" w:rsidRDefault="007639EB" w14:paraId="0A37501D" wp14:textId="77777777"/>
    <w:p xmlns:wp14="http://schemas.microsoft.com/office/word/2010/wordml" w:rsidRPr="007639EB" w:rsidR="007639EB" w:rsidRDefault="007639EB" w14:paraId="35A5C3BD" wp14:textId="77777777">
      <w:pPr>
        <w:rPr>
          <w:u w:val="single"/>
        </w:rPr>
      </w:pPr>
      <w:r w:rsidRPr="007639EB">
        <w:rPr>
          <w:u w:val="single"/>
        </w:rPr>
        <w:t>First things first…</w:t>
      </w:r>
    </w:p>
    <w:p xmlns:wp14="http://schemas.microsoft.com/office/word/2010/wordml" w:rsidR="007639EB" w:rsidRDefault="007639EB" w14:paraId="6B040D3A" wp14:textId="77777777">
      <w:r>
        <w:t xml:space="preserve">Create an electronic folder on your laptop or computer entitled Drama and Theatre Studies </w:t>
      </w:r>
      <w:proofErr w:type="gramStart"/>
      <w:r>
        <w:t>A</w:t>
      </w:r>
      <w:proofErr w:type="gramEnd"/>
      <w:r>
        <w:t xml:space="preserve"> Level. You will be asked to keep a Lever Arch folder of work to support your learning but whilst you prepare, you may find it best to keep an electronic folder.</w:t>
      </w:r>
    </w:p>
    <w:p xmlns:wp14="http://schemas.microsoft.com/office/word/2010/wordml" w:rsidR="007639EB" w:rsidRDefault="007639EB" w14:paraId="70260F92" wp14:textId="77777777">
      <w:r>
        <w:t xml:space="preserve">You should save all of your preparation work into this folder, including anything you might need to keep as a scanned document (i.e. any annotations of scripts </w:t>
      </w:r>
      <w:proofErr w:type="spellStart"/>
      <w:r>
        <w:t>etc</w:t>
      </w:r>
      <w:proofErr w:type="spellEnd"/>
      <w:r>
        <w:t>).</w:t>
      </w:r>
    </w:p>
    <w:p xmlns:wp14="http://schemas.microsoft.com/office/word/2010/wordml" w:rsidR="007639EB" w:rsidRDefault="007639EB" w14:paraId="27B2EC96" wp14:textId="77777777">
      <w:r>
        <w:t>You may wish to create sub folders in your electronic folder and I would suggest the following titles in the first instance:</w:t>
      </w:r>
    </w:p>
    <w:p xmlns:wp14="http://schemas.microsoft.com/office/word/2010/wordml" w:rsidR="007639EB" w:rsidP="007639EB" w:rsidRDefault="007639EB" w14:paraId="39CC7862" wp14:textId="77777777">
      <w:pPr>
        <w:pStyle w:val="ListParagraph"/>
        <w:numPr>
          <w:ilvl w:val="0"/>
          <w:numId w:val="1"/>
        </w:numPr>
      </w:pPr>
      <w:r>
        <w:t>Specification and Course Info</w:t>
      </w:r>
    </w:p>
    <w:p xmlns:wp14="http://schemas.microsoft.com/office/word/2010/wordml" w:rsidR="007639EB" w:rsidP="007639EB" w:rsidRDefault="007639EB" w14:paraId="6F8997A9" wp14:textId="77777777">
      <w:pPr>
        <w:pStyle w:val="ListParagraph"/>
        <w:numPr>
          <w:ilvl w:val="0"/>
          <w:numId w:val="1"/>
        </w:numPr>
      </w:pPr>
      <w:r>
        <w:t>Assignments</w:t>
      </w:r>
    </w:p>
    <w:p xmlns:wp14="http://schemas.microsoft.com/office/word/2010/wordml" w:rsidR="007639EB" w:rsidP="007639EB" w:rsidRDefault="007639EB" w14:paraId="72FDF7DD" wp14:textId="77777777">
      <w:pPr>
        <w:pStyle w:val="ListParagraph"/>
        <w:numPr>
          <w:ilvl w:val="0"/>
          <w:numId w:val="1"/>
        </w:numPr>
      </w:pPr>
      <w:r>
        <w:t>Practitioners</w:t>
      </w:r>
    </w:p>
    <w:p xmlns:wp14="http://schemas.microsoft.com/office/word/2010/wordml" w:rsidR="007639EB" w:rsidP="007639EB" w:rsidRDefault="007639EB" w14:paraId="2149680B" wp14:textId="77777777">
      <w:pPr>
        <w:pStyle w:val="ListParagraph"/>
        <w:numPr>
          <w:ilvl w:val="0"/>
          <w:numId w:val="1"/>
        </w:numPr>
      </w:pPr>
      <w:r>
        <w:t>Scripts</w:t>
      </w:r>
    </w:p>
    <w:p xmlns:wp14="http://schemas.microsoft.com/office/word/2010/wordml" w:rsidR="007639EB" w:rsidP="007639EB" w:rsidRDefault="007639EB" w14:paraId="5DAB6C7B" wp14:textId="77777777">
      <w:pPr>
        <w:pStyle w:val="ListParagraph"/>
      </w:pPr>
    </w:p>
    <w:p xmlns:wp14="http://schemas.microsoft.com/office/word/2010/wordml" w:rsidR="007639EB" w:rsidP="007639EB" w:rsidRDefault="007639EB" w14:paraId="6EEA034C" wp14:textId="77777777">
      <w:r>
        <w:t>Task 1: Download the A Level specification and the glossary of terms into your specification folder:</w:t>
      </w:r>
    </w:p>
    <w:p xmlns:wp14="http://schemas.microsoft.com/office/word/2010/wordml" w:rsidR="007639EB" w:rsidP="007639EB" w:rsidRDefault="007639EB" w14:paraId="7F0F6644" wp14:textId="77777777">
      <w:pPr>
        <w:pStyle w:val="ListParagraph"/>
      </w:pPr>
      <w:hyperlink w:history="1" w:anchor="%2FfilterQuery=category:Pearson-UK:Category%2FSpecification-and-sample-assessments" r:id="rId7">
        <w:r>
          <w:rPr>
            <w:rStyle w:val="Hyperlink"/>
          </w:rPr>
          <w:t>https://qualifications.pearson.com/en/qualifications/edexcel-a-levels/drama-and-theatre-2016.coursematerials.html#%2FfilterQuery=category:Pearson-UK:Category%2FSpecification-and-sample-assessments</w:t>
        </w:r>
      </w:hyperlink>
    </w:p>
    <w:p xmlns:wp14="http://schemas.microsoft.com/office/word/2010/wordml" w:rsidR="007639EB" w:rsidP="007639EB" w:rsidRDefault="007639EB" w14:paraId="151246E3" wp14:textId="77777777">
      <w:r w:rsidR="007639EB">
        <w:rPr/>
        <w:t>Task 2: Read the specification, create a list of questions you might have and send these in. You can add to this list of questions at any point</w:t>
      </w:r>
    </w:p>
    <w:p xmlns:wp14="http://schemas.microsoft.com/office/word/2010/wordml" w:rsidR="007639EB" w:rsidP="007639EB" w:rsidRDefault="007639EB" w14:paraId="790C8189" wp14:textId="77777777">
      <w:r w:rsidRPr="007639EB">
        <w:rPr>
          <w:u w:val="single"/>
        </w:rPr>
        <w:t>Practitioners</w:t>
      </w:r>
    </w:p>
    <w:p xmlns:wp14="http://schemas.microsoft.com/office/word/2010/wordml" w:rsidR="007639EB" w:rsidP="007639EB" w:rsidRDefault="007639EB" w14:paraId="30BD130B" wp14:textId="77777777">
      <w:pPr>
        <w:ind w:left="720" w:hanging="720"/>
      </w:pPr>
      <w:r>
        <w:t xml:space="preserve">The Practitioners play a key role in the Drama </w:t>
      </w:r>
      <w:proofErr w:type="gramStart"/>
      <w:r>
        <w:t>A</w:t>
      </w:r>
      <w:proofErr w:type="gramEnd"/>
      <w:r>
        <w:t xml:space="preserve"> Level as they do in the GCSE and in the Drama world in general; every component has to refer to a practitioner so we will be building on this knowledge throughout the course – some of the practitioners you will know in detail, others will require further research and information. Any practitioner research and knowledge you already have will now need to be extended to a deeper l</w:t>
      </w:r>
      <w:bookmarkStart w:name="_GoBack" w:id="0"/>
      <w:bookmarkEnd w:id="0"/>
      <w:r>
        <w:t>evel.</w:t>
      </w:r>
    </w:p>
    <w:p xmlns:wp14="http://schemas.microsoft.com/office/word/2010/wordml" w:rsidR="00A66456" w:rsidP="007639EB" w:rsidRDefault="00A66456" w14:paraId="553D2596" wp14:textId="77777777">
      <w:pPr>
        <w:ind w:left="720" w:hanging="720"/>
      </w:pPr>
      <w:r>
        <w:t>Task 3: Konstantin Stanislavski – Read the supporting document and annotate the important information</w:t>
      </w:r>
    </w:p>
    <w:p xmlns:wp14="http://schemas.microsoft.com/office/word/2010/wordml" w:rsidR="00A66456" w:rsidP="007639EB" w:rsidRDefault="00A66456" w14:paraId="77F61EEA" wp14:textId="77777777">
      <w:pPr>
        <w:ind w:left="720" w:hanging="720"/>
      </w:pPr>
      <w:r>
        <w:t>Task 4: Create a timeline of events for Stanislavski</w:t>
      </w:r>
    </w:p>
    <w:p xmlns:wp14="http://schemas.microsoft.com/office/word/2010/wordml" w:rsidR="00A66456" w:rsidP="007639EB" w:rsidRDefault="00A66456" w14:paraId="0A5D74E0" wp14:textId="77777777">
      <w:pPr>
        <w:ind w:left="720" w:hanging="720"/>
      </w:pPr>
      <w:r>
        <w:t>Task 5: Create a detailed research document (can be written as a report or a PPT document) on Stanislavski and his performance style – Naturalism. Please include the following areas:</w:t>
      </w:r>
    </w:p>
    <w:p xmlns:wp14="http://schemas.microsoft.com/office/word/2010/wordml" w:rsidR="00A66456" w:rsidP="00A66456" w:rsidRDefault="00A66456" w14:paraId="00458AAB" wp14:textId="77777777">
      <w:pPr>
        <w:pStyle w:val="ListParagraph"/>
        <w:numPr>
          <w:ilvl w:val="0"/>
          <w:numId w:val="1"/>
        </w:numPr>
      </w:pPr>
      <w:r>
        <w:t>His life</w:t>
      </w:r>
    </w:p>
    <w:p xmlns:wp14="http://schemas.microsoft.com/office/word/2010/wordml" w:rsidR="00A66456" w:rsidP="00A66456" w:rsidRDefault="00A66456" w14:paraId="6C7ED172" wp14:textId="77777777">
      <w:pPr>
        <w:pStyle w:val="ListParagraph"/>
        <w:numPr>
          <w:ilvl w:val="0"/>
          <w:numId w:val="1"/>
        </w:numPr>
      </w:pPr>
      <w:r>
        <w:t>His works as a director</w:t>
      </w:r>
    </w:p>
    <w:p xmlns:wp14="http://schemas.microsoft.com/office/word/2010/wordml" w:rsidR="00A66456" w:rsidP="00A66456" w:rsidRDefault="00A66456" w14:paraId="4E3762F3" wp14:textId="77777777">
      <w:pPr>
        <w:pStyle w:val="ListParagraph"/>
        <w:numPr>
          <w:ilvl w:val="0"/>
          <w:numId w:val="1"/>
        </w:numPr>
      </w:pPr>
      <w:r>
        <w:lastRenderedPageBreak/>
        <w:t>His methodology and practice</w:t>
      </w:r>
    </w:p>
    <w:p xmlns:wp14="http://schemas.microsoft.com/office/word/2010/wordml" w:rsidR="007639EB" w:rsidP="007639EB" w:rsidRDefault="007639EB" w14:paraId="6A05A809" wp14:textId="77777777">
      <w:pPr>
        <w:ind w:left="720" w:hanging="720"/>
      </w:pPr>
    </w:p>
    <w:p xmlns:wp14="http://schemas.microsoft.com/office/word/2010/wordml" w:rsidR="004B142B" w:rsidP="00A66456" w:rsidRDefault="004B142B" w14:paraId="29B34A36" wp14:textId="77777777">
      <w:r>
        <w:rPr>
          <w:u w:val="single"/>
        </w:rPr>
        <w:t>Live Theatre</w:t>
      </w:r>
    </w:p>
    <w:p xmlns:wp14="http://schemas.microsoft.com/office/word/2010/wordml" w:rsidRPr="004B142B" w:rsidR="0094042C" w:rsidP="2B0F847C" w:rsidRDefault="0094042C" w14:paraId="3CF2D8B6" wp14:textId="476909B2">
      <w:pPr>
        <w:spacing w:after="0" w:line="240" w:lineRule="auto"/>
        <w:ind/>
      </w:pPr>
      <w:r w:rsidR="004B142B">
        <w:rPr/>
        <w:t xml:space="preserve">Live theatre also plays an important part in our learning and development as Drama students. There has been and is an immense amount of theatre performances available </w:t>
      </w:r>
      <w:proofErr w:type="gramStart"/>
      <w:r w:rsidR="004B142B">
        <w:rPr/>
        <w:t>at this time</w:t>
      </w:r>
      <w:proofErr w:type="gramEnd"/>
      <w:r w:rsidR="004B142B">
        <w:rPr/>
        <w:t xml:space="preserve"> online.</w:t>
      </w:r>
    </w:p>
    <w:p xmlns:wp14="http://schemas.microsoft.com/office/word/2010/wordml" w:rsidR="004B142B" w:rsidP="004B142B" w:rsidRDefault="004B142B" w14:paraId="0FB78278" wp14:textId="77777777">
      <w:pPr>
        <w:spacing w:after="0" w:line="240" w:lineRule="auto"/>
        <w:ind w:left="426"/>
        <w:rPr>
          <w:rFonts w:ascii="Arial Narrow" w:hAnsi="Arial Narrow"/>
          <w:color w:val="000000" w:themeColor="text1"/>
          <w:sz w:val="24"/>
        </w:rPr>
      </w:pPr>
    </w:p>
    <w:p w:rsidR="2A01D4F6" w:rsidP="2B0F847C" w:rsidRDefault="2A01D4F6" w14:paraId="1487DDC3" w14:textId="31C89337">
      <w:pPr>
        <w:bidi w:val="0"/>
        <w:spacing w:before="0" w:beforeAutospacing="off" w:after="0" w:afterAutospacing="off" w:line="240" w:lineRule="auto"/>
        <w:ind w:left="0"/>
        <w:rPr>
          <w:rFonts w:cs="Calibri" w:cstheme="minorAscii"/>
          <w:color w:val="000000" w:themeColor="text1" w:themeTint="FF" w:themeShade="FF"/>
        </w:rPr>
      </w:pPr>
      <w:r w:rsidRPr="2B0F847C" w:rsidR="0094042C">
        <w:rPr>
          <w:rFonts w:cs="Calibri" w:cstheme="minorAscii"/>
          <w:color w:val="000000" w:themeColor="text1" w:themeTint="FF" w:themeShade="FF"/>
        </w:rPr>
        <w:t xml:space="preserve">Task </w:t>
      </w:r>
      <w:r w:rsidRPr="2B0F847C" w:rsidR="7FBC1B83">
        <w:rPr>
          <w:rFonts w:cs="Calibri" w:cstheme="minorAscii"/>
          <w:color w:val="000000" w:themeColor="text1" w:themeTint="FF" w:themeShade="FF"/>
        </w:rPr>
        <w:t>6</w:t>
      </w:r>
      <w:r w:rsidRPr="2B0F847C" w:rsidR="0094042C">
        <w:rPr>
          <w:rFonts w:cs="Calibri" w:cstheme="minorAscii"/>
          <w:color w:val="000000" w:themeColor="text1" w:themeTint="FF" w:themeShade="FF"/>
        </w:rPr>
        <w:t xml:space="preserve">: </w:t>
      </w:r>
      <w:r w:rsidRPr="2B0F847C" w:rsidR="0094042C">
        <w:rPr>
          <w:rFonts w:cs="Calibri" w:cstheme="minorAscii"/>
          <w:color w:val="000000" w:themeColor="text1" w:themeTint="FF" w:themeShade="FF"/>
        </w:rPr>
        <w:t xml:space="preserve">Watch one theatre production online – you can access these by using your log in details for Digital Theatre Plus or the National theatre Collection (current SMHS students) or by accessing any of the online platforms – National Theatre Home, The Shows Must Go On, </w:t>
      </w:r>
      <w:proofErr w:type="spellStart"/>
      <w:r w:rsidRPr="2B0F847C" w:rsidR="0094042C">
        <w:rPr>
          <w:rFonts w:cs="Calibri" w:cstheme="minorAscii"/>
          <w:color w:val="000000" w:themeColor="text1" w:themeTint="FF" w:themeShade="FF"/>
        </w:rPr>
        <w:t>Sadlers</w:t>
      </w:r>
      <w:proofErr w:type="spellEnd"/>
      <w:r w:rsidRPr="2B0F847C" w:rsidR="0094042C">
        <w:rPr>
          <w:rFonts w:cs="Calibri" w:cstheme="minorAscii"/>
          <w:color w:val="000000" w:themeColor="text1" w:themeTint="FF" w:themeShade="FF"/>
        </w:rPr>
        <w:t xml:space="preserve"> Wells, The Old Vic.</w:t>
      </w:r>
    </w:p>
    <w:p w:rsidR="2A01D4F6" w:rsidP="23BD1D45" w:rsidRDefault="2A01D4F6" w14:paraId="0858F0C8" w14:textId="40553498">
      <w:pPr>
        <w:pStyle w:val="Normal"/>
        <w:bidi w:val="0"/>
        <w:spacing w:before="0" w:beforeAutospacing="off" w:after="0" w:afterAutospacing="off" w:line="240" w:lineRule="auto"/>
        <w:ind w:left="426" w:right="0"/>
        <w:jc w:val="left"/>
        <w:rPr>
          <w:rFonts w:cs="Calibri" w:cstheme="minorAscii"/>
          <w:color w:val="000000" w:themeColor="text1" w:themeTint="FF" w:themeShade="FF"/>
        </w:rPr>
      </w:pPr>
    </w:p>
    <w:p w:rsidR="2A01D4F6" w:rsidP="23BD1D45" w:rsidRDefault="2A01D4F6" w14:paraId="56098209" w14:textId="022F4DFF">
      <w:pPr>
        <w:pStyle w:val="Normal"/>
        <w:bidi w:val="0"/>
        <w:spacing w:before="0" w:beforeAutospacing="off" w:after="0" w:afterAutospacing="off" w:line="240" w:lineRule="auto"/>
        <w:ind w:left="0" w:right="0"/>
        <w:jc w:val="left"/>
        <w:rPr>
          <w:rFonts w:cs="Calibri" w:cstheme="minorAscii"/>
          <w:color w:val="000000" w:themeColor="text1" w:themeTint="FF" w:themeShade="FF"/>
        </w:rPr>
      </w:pPr>
      <w:r w:rsidRPr="2B0F847C" w:rsidR="0094042C">
        <w:rPr>
          <w:rFonts w:cs="Calibri" w:cstheme="minorAscii"/>
          <w:color w:val="000000" w:themeColor="text1" w:themeTint="FF" w:themeShade="FF"/>
        </w:rPr>
        <w:t xml:space="preserve">Task </w:t>
      </w:r>
      <w:r w:rsidRPr="2B0F847C" w:rsidR="13F1A5B2">
        <w:rPr>
          <w:rFonts w:cs="Calibri" w:cstheme="minorAscii"/>
          <w:color w:val="000000" w:themeColor="text1" w:themeTint="FF" w:themeShade="FF"/>
        </w:rPr>
        <w:t>7</w:t>
      </w:r>
      <w:r w:rsidRPr="2B0F847C" w:rsidR="7694ECBB">
        <w:rPr>
          <w:rFonts w:cs="Calibri" w:cstheme="minorAscii"/>
          <w:color w:val="000000" w:themeColor="text1" w:themeTint="FF" w:themeShade="FF"/>
        </w:rPr>
        <w:t>a</w:t>
      </w:r>
      <w:r w:rsidRPr="2B0F847C" w:rsidR="0094042C">
        <w:rPr>
          <w:rFonts w:cs="Calibri" w:cstheme="minorAscii"/>
          <w:color w:val="000000" w:themeColor="text1" w:themeTint="FF" w:themeShade="FF"/>
        </w:rPr>
        <w:t>:</w:t>
      </w:r>
      <w:r w:rsidRPr="2B0F847C" w:rsidR="0094042C">
        <w:rPr>
          <w:rFonts w:cs="Calibri" w:cstheme="minorAscii"/>
          <w:color w:val="000000" w:themeColor="text1" w:themeTint="FF" w:themeShade="FF"/>
        </w:rPr>
        <w:t xml:space="preserve"> </w:t>
      </w:r>
      <w:r w:rsidRPr="2B0F847C" w:rsidR="6E7954A0">
        <w:rPr>
          <w:rFonts w:cs="Calibri" w:cstheme="minorAscii"/>
          <w:color w:val="000000" w:themeColor="text1" w:themeTint="FF" w:themeShade="FF"/>
        </w:rPr>
        <w:t>Read the scripted extract (PPT Slide entitled Transition Task Extract) and identify the following:</w:t>
      </w:r>
    </w:p>
    <w:p w:rsidR="6E7954A0" w:rsidP="23BD1D45" w:rsidRDefault="6E7954A0" w14:paraId="2528749E" w14:textId="42AAD2AC">
      <w:pPr>
        <w:pStyle w:val="ListParagraph"/>
        <w:numPr>
          <w:ilvl w:val="0"/>
          <w:numId w:val="5"/>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3BD1D45" w:rsidR="6E7954A0">
        <w:rPr>
          <w:rFonts w:cs="Calibri" w:cstheme="minorAscii"/>
          <w:color w:val="000000" w:themeColor="text1" w:themeTint="FF" w:themeShade="FF"/>
        </w:rPr>
        <w:t>Who the characters are</w:t>
      </w:r>
    </w:p>
    <w:p w:rsidR="6E7954A0" w:rsidP="23BD1D45" w:rsidRDefault="6E7954A0" w14:paraId="78DA4CA3" w14:textId="7EDB637E">
      <w:pPr>
        <w:pStyle w:val="ListParagraph"/>
        <w:numPr>
          <w:ilvl w:val="0"/>
          <w:numId w:val="5"/>
        </w:numPr>
        <w:bidi w:val="0"/>
        <w:spacing w:before="0" w:beforeAutospacing="off" w:after="0" w:afterAutospacing="off" w:line="240" w:lineRule="auto"/>
        <w:ind w:right="0"/>
        <w:jc w:val="left"/>
        <w:rPr>
          <w:color w:val="000000" w:themeColor="text1" w:themeTint="FF" w:themeShade="FF"/>
          <w:sz w:val="22"/>
          <w:szCs w:val="22"/>
        </w:rPr>
      </w:pPr>
      <w:r w:rsidRPr="23BD1D45" w:rsidR="6E7954A0">
        <w:rPr>
          <w:rFonts w:cs="Calibri" w:cstheme="minorAscii"/>
          <w:color w:val="000000" w:themeColor="text1" w:themeTint="FF" w:themeShade="FF"/>
        </w:rPr>
        <w:t>What the objectives and motivations are for each character</w:t>
      </w:r>
    </w:p>
    <w:p w:rsidR="6E7954A0" w:rsidP="23BD1D45" w:rsidRDefault="6E7954A0" w14:paraId="76912B54" w14:textId="6F3B99B4">
      <w:pPr>
        <w:pStyle w:val="ListParagraph"/>
        <w:numPr>
          <w:ilvl w:val="0"/>
          <w:numId w:val="5"/>
        </w:numPr>
        <w:bidi w:val="0"/>
        <w:spacing w:before="0" w:beforeAutospacing="off" w:after="0" w:afterAutospacing="off" w:line="240" w:lineRule="auto"/>
        <w:ind w:right="0"/>
        <w:jc w:val="left"/>
        <w:rPr>
          <w:color w:val="000000" w:themeColor="text1" w:themeTint="FF" w:themeShade="FF"/>
          <w:sz w:val="22"/>
          <w:szCs w:val="22"/>
        </w:rPr>
      </w:pPr>
      <w:r w:rsidRPr="23BD1D45" w:rsidR="6E7954A0">
        <w:rPr>
          <w:rFonts w:cs="Calibri" w:cstheme="minorAscii"/>
          <w:color w:val="000000" w:themeColor="text1" w:themeTint="FF" w:themeShade="FF"/>
        </w:rPr>
        <w:t xml:space="preserve">What is happening in </w:t>
      </w:r>
      <w:r w:rsidRPr="23BD1D45" w:rsidR="6E7954A0">
        <w:rPr>
          <w:rFonts w:cs="Calibri" w:cstheme="minorAscii"/>
          <w:color w:val="000000" w:themeColor="text1" w:themeTint="FF" w:themeShade="FF"/>
        </w:rPr>
        <w:t>the extract</w:t>
      </w:r>
    </w:p>
    <w:p w:rsidR="6E7954A0" w:rsidP="23BD1D45" w:rsidRDefault="6E7954A0" w14:paraId="08AA98D4" w14:textId="2A42EBBD">
      <w:pPr>
        <w:pStyle w:val="ListParagraph"/>
        <w:numPr>
          <w:ilvl w:val="0"/>
          <w:numId w:val="5"/>
        </w:numPr>
        <w:bidi w:val="0"/>
        <w:spacing w:before="0" w:beforeAutospacing="off" w:after="0" w:afterAutospacing="off" w:line="240" w:lineRule="auto"/>
        <w:ind w:right="0"/>
        <w:jc w:val="left"/>
        <w:rPr>
          <w:color w:val="000000" w:themeColor="text1" w:themeTint="FF" w:themeShade="FF"/>
          <w:sz w:val="22"/>
          <w:szCs w:val="22"/>
        </w:rPr>
      </w:pPr>
      <w:r w:rsidRPr="23BD1D45" w:rsidR="6E7954A0">
        <w:rPr>
          <w:rFonts w:cs="Calibri" w:cstheme="minorAscii"/>
          <w:color w:val="000000" w:themeColor="text1" w:themeTint="FF" w:themeShade="FF"/>
        </w:rPr>
        <w:t>The key moments</w:t>
      </w:r>
    </w:p>
    <w:p w:rsidR="6E7954A0" w:rsidP="23BD1D45" w:rsidRDefault="6E7954A0" w14:paraId="73BFCAAC" w14:textId="33FCF25F">
      <w:pPr>
        <w:pStyle w:val="ListParagraph"/>
        <w:numPr>
          <w:ilvl w:val="0"/>
          <w:numId w:val="5"/>
        </w:numPr>
        <w:bidi w:val="0"/>
        <w:spacing w:before="0" w:beforeAutospacing="off" w:after="0" w:afterAutospacing="off" w:line="240" w:lineRule="auto"/>
        <w:ind w:right="0"/>
        <w:jc w:val="left"/>
        <w:rPr>
          <w:color w:val="000000" w:themeColor="text1" w:themeTint="FF" w:themeShade="FF"/>
          <w:sz w:val="22"/>
          <w:szCs w:val="22"/>
        </w:rPr>
      </w:pPr>
      <w:r w:rsidRPr="23BD1D45" w:rsidR="6E7954A0">
        <w:rPr>
          <w:rFonts w:cs="Calibri" w:cstheme="minorAscii"/>
          <w:color w:val="000000" w:themeColor="text1" w:themeTint="FF" w:themeShade="FF"/>
        </w:rPr>
        <w:t xml:space="preserve">The main emotions </w:t>
      </w:r>
      <w:r w:rsidRPr="23BD1D45" w:rsidR="6E7954A0">
        <w:rPr>
          <w:rFonts w:cs="Calibri" w:cstheme="minorAscii"/>
          <w:color w:val="000000" w:themeColor="text1" w:themeTint="FF" w:themeShade="FF"/>
        </w:rPr>
        <w:t>expressed</w:t>
      </w:r>
    </w:p>
    <w:p w:rsidR="23BD1D45" w:rsidP="23BD1D45" w:rsidRDefault="23BD1D45" w14:paraId="11139D79" w14:textId="6E6F5B18">
      <w:pPr>
        <w:pStyle w:val="Normal"/>
        <w:bidi w:val="0"/>
        <w:spacing w:before="0" w:beforeAutospacing="off" w:after="0" w:afterAutospacing="off" w:line="240" w:lineRule="auto"/>
        <w:ind w:left="0" w:right="0"/>
        <w:jc w:val="left"/>
        <w:rPr>
          <w:rFonts w:cs="Calibri" w:cstheme="minorAscii"/>
          <w:color w:val="000000" w:themeColor="text1" w:themeTint="FF" w:themeShade="FF"/>
        </w:rPr>
      </w:pPr>
    </w:p>
    <w:p w:rsidR="6E7954A0" w:rsidP="23BD1D45" w:rsidRDefault="6E7954A0" w14:paraId="5A2F7D19" w14:textId="1C46EB34">
      <w:pPr>
        <w:pStyle w:val="Normal"/>
        <w:bidi w:val="0"/>
        <w:spacing w:before="0" w:beforeAutospacing="off" w:after="0" w:afterAutospacing="off" w:line="240" w:lineRule="auto"/>
        <w:ind w:left="0" w:right="0"/>
        <w:jc w:val="left"/>
        <w:rPr>
          <w:rFonts w:cs="Calibri" w:cstheme="minorAscii"/>
          <w:color w:val="000000" w:themeColor="text1" w:themeTint="FF" w:themeShade="FF"/>
        </w:rPr>
      </w:pPr>
      <w:r w:rsidRPr="2B0F847C" w:rsidR="6E7954A0">
        <w:rPr>
          <w:rFonts w:cs="Calibri" w:cstheme="minorAscii"/>
          <w:color w:val="000000" w:themeColor="text1" w:themeTint="FF" w:themeShade="FF"/>
        </w:rPr>
        <w:t xml:space="preserve">Task </w:t>
      </w:r>
      <w:r w:rsidRPr="2B0F847C" w:rsidR="77A08368">
        <w:rPr>
          <w:rFonts w:cs="Calibri" w:cstheme="minorAscii"/>
          <w:color w:val="000000" w:themeColor="text1" w:themeTint="FF" w:themeShade="FF"/>
        </w:rPr>
        <w:t>7</w:t>
      </w:r>
      <w:r w:rsidRPr="2B0F847C" w:rsidR="6E7954A0">
        <w:rPr>
          <w:rFonts w:cs="Calibri" w:cstheme="minorAscii"/>
          <w:color w:val="000000" w:themeColor="text1" w:themeTint="FF" w:themeShade="FF"/>
        </w:rPr>
        <w:t>b: Choose any three contrasting lines/</w:t>
      </w:r>
      <w:r w:rsidRPr="2B0F847C" w:rsidR="6E7954A0">
        <w:rPr>
          <w:rFonts w:cs="Calibri" w:cstheme="minorAscii"/>
          <w:color w:val="000000" w:themeColor="text1" w:themeTint="FF" w:themeShade="FF"/>
        </w:rPr>
        <w:t>dialogues  within</w:t>
      </w:r>
      <w:r w:rsidRPr="2B0F847C" w:rsidR="6E7954A0">
        <w:rPr>
          <w:rFonts w:cs="Calibri" w:cstheme="minorAscii"/>
          <w:color w:val="000000" w:themeColor="text1" w:themeTint="FF" w:themeShade="FF"/>
        </w:rPr>
        <w:t xml:space="preserve"> the extract and consider how you would say these </w:t>
      </w:r>
      <w:proofErr w:type="gramStart"/>
      <w:r w:rsidRPr="2B0F847C" w:rsidR="6E7954A0">
        <w:rPr>
          <w:rFonts w:cs="Calibri" w:cstheme="minorAscii"/>
          <w:color w:val="000000" w:themeColor="text1" w:themeTint="FF" w:themeShade="FF"/>
        </w:rPr>
        <w:t>lines</w:t>
      </w:r>
      <w:proofErr w:type="gramEnd"/>
    </w:p>
    <w:p w:rsidR="23BD1D45" w:rsidP="23BD1D45" w:rsidRDefault="23BD1D45" w14:paraId="5050515E" w14:textId="6C18E5B6">
      <w:pPr>
        <w:pStyle w:val="Normal"/>
        <w:bidi w:val="0"/>
        <w:spacing w:before="0" w:beforeAutospacing="off" w:after="0" w:afterAutospacing="off" w:line="240" w:lineRule="auto"/>
        <w:ind w:left="0" w:right="0"/>
        <w:jc w:val="left"/>
        <w:rPr>
          <w:rFonts w:cs="Calibri" w:cstheme="minorAscii"/>
          <w:color w:val="000000" w:themeColor="text1" w:themeTint="FF" w:themeShade="FF"/>
        </w:rPr>
      </w:pPr>
    </w:p>
    <w:p w:rsidR="6E7954A0" w:rsidP="23BD1D45" w:rsidRDefault="6E7954A0" w14:paraId="62EC4CB5" w14:textId="0C9A93B0">
      <w:pPr>
        <w:pStyle w:val="Normal"/>
        <w:bidi w:val="0"/>
        <w:spacing w:before="0" w:beforeAutospacing="off" w:after="0" w:afterAutospacing="off" w:line="240" w:lineRule="auto"/>
        <w:ind w:left="0" w:right="0"/>
        <w:jc w:val="left"/>
        <w:rPr>
          <w:rFonts w:cs="Calibri" w:cstheme="minorAscii"/>
          <w:color w:val="000000" w:themeColor="text1" w:themeTint="FF" w:themeShade="FF"/>
        </w:rPr>
      </w:pPr>
      <w:r w:rsidRPr="2B0F847C" w:rsidR="6E7954A0">
        <w:rPr>
          <w:rFonts w:cs="Calibri" w:cstheme="minorAscii"/>
          <w:color w:val="000000" w:themeColor="text1" w:themeTint="FF" w:themeShade="FF"/>
        </w:rPr>
        <w:t xml:space="preserve">Task </w:t>
      </w:r>
      <w:r w:rsidRPr="2B0F847C" w:rsidR="019FB617">
        <w:rPr>
          <w:rFonts w:cs="Calibri" w:cstheme="minorAscii"/>
          <w:color w:val="000000" w:themeColor="text1" w:themeTint="FF" w:themeShade="FF"/>
        </w:rPr>
        <w:t>7</w:t>
      </w:r>
      <w:r w:rsidRPr="2B0F847C" w:rsidR="6E7954A0">
        <w:rPr>
          <w:rFonts w:cs="Calibri" w:cstheme="minorAscii"/>
          <w:color w:val="000000" w:themeColor="text1" w:themeTint="FF" w:themeShade="FF"/>
        </w:rPr>
        <w:t>c: Choose the main character in the scene</w:t>
      </w:r>
    </w:p>
    <w:p w:rsidR="6E7954A0" w:rsidP="23BD1D45" w:rsidRDefault="6E7954A0" w14:paraId="0B9CFB81" w14:textId="1616CDBF">
      <w:pPr>
        <w:pStyle w:val="ListParagraph"/>
        <w:numPr>
          <w:ilvl w:val="0"/>
          <w:numId w:val="6"/>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3BD1D45" w:rsidR="6E7954A0">
        <w:rPr>
          <w:rFonts w:cs="Calibri" w:cstheme="minorAscii"/>
          <w:color w:val="000000" w:themeColor="text1" w:themeTint="FF" w:themeShade="FF"/>
        </w:rPr>
        <w:t xml:space="preserve">Create a series of five gestures together with an action </w:t>
      </w:r>
      <w:proofErr w:type="gramStart"/>
      <w:r w:rsidRPr="23BD1D45" w:rsidR="6E7954A0">
        <w:rPr>
          <w:rFonts w:cs="Calibri" w:cstheme="minorAscii"/>
          <w:color w:val="000000" w:themeColor="text1" w:themeTint="FF" w:themeShade="FF"/>
        </w:rPr>
        <w:t>e.g.</w:t>
      </w:r>
      <w:proofErr w:type="gramEnd"/>
      <w:r w:rsidRPr="23BD1D45" w:rsidR="6E7954A0">
        <w:rPr>
          <w:rFonts w:cs="Calibri" w:cstheme="minorAscii"/>
          <w:color w:val="000000" w:themeColor="text1" w:themeTint="FF" w:themeShade="FF"/>
        </w:rPr>
        <w:t xml:space="preserve"> turn, step, look, drop </w:t>
      </w:r>
      <w:proofErr w:type="gramStart"/>
      <w:r w:rsidRPr="23BD1D45" w:rsidR="6E7954A0">
        <w:rPr>
          <w:rFonts w:cs="Calibri" w:cstheme="minorAscii"/>
          <w:color w:val="000000" w:themeColor="text1" w:themeTint="FF" w:themeShade="FF"/>
        </w:rPr>
        <w:t>etc</w:t>
      </w:r>
      <w:proofErr w:type="gramEnd"/>
    </w:p>
    <w:p w:rsidR="3B922F37" w:rsidP="23BD1D45" w:rsidRDefault="3B922F37" w14:paraId="7AF64C7E" w14:textId="3A749BA4">
      <w:pPr>
        <w:pStyle w:val="ListParagraph"/>
        <w:numPr>
          <w:ilvl w:val="0"/>
          <w:numId w:val="6"/>
        </w:numPr>
        <w:bidi w:val="0"/>
        <w:spacing w:before="0" w:beforeAutospacing="off" w:after="0" w:afterAutospacing="off" w:line="240" w:lineRule="auto"/>
        <w:ind w:right="0"/>
        <w:jc w:val="left"/>
        <w:rPr>
          <w:color w:val="000000" w:themeColor="text1" w:themeTint="FF" w:themeShade="FF"/>
          <w:sz w:val="22"/>
          <w:szCs w:val="22"/>
        </w:rPr>
      </w:pPr>
      <w:r w:rsidRPr="23BD1D45" w:rsidR="3B922F37">
        <w:rPr>
          <w:rFonts w:cs="Calibri" w:cstheme="minorAscii"/>
          <w:color w:val="000000" w:themeColor="text1" w:themeTint="FF" w:themeShade="FF"/>
        </w:rPr>
        <w:t>Link these gestures together with an action e.g. turn, step, look, drop etc</w:t>
      </w:r>
    </w:p>
    <w:p w:rsidR="3B922F37" w:rsidP="23BD1D45" w:rsidRDefault="3B922F37" w14:paraId="276C1C83" w14:textId="2CA67A9A">
      <w:pPr>
        <w:pStyle w:val="ListParagraph"/>
        <w:numPr>
          <w:ilvl w:val="0"/>
          <w:numId w:val="6"/>
        </w:numPr>
        <w:bidi w:val="0"/>
        <w:spacing w:before="0" w:beforeAutospacing="off" w:after="0" w:afterAutospacing="off" w:line="240" w:lineRule="auto"/>
        <w:ind w:right="0"/>
        <w:jc w:val="left"/>
        <w:rPr>
          <w:color w:val="000000" w:themeColor="text1" w:themeTint="FF" w:themeShade="FF"/>
          <w:sz w:val="22"/>
          <w:szCs w:val="22"/>
        </w:rPr>
      </w:pPr>
      <w:r w:rsidRPr="23BD1D45" w:rsidR="3B922F37">
        <w:rPr>
          <w:rFonts w:cs="Calibri" w:cstheme="minorAscii"/>
          <w:color w:val="000000" w:themeColor="text1" w:themeTint="FF" w:themeShade="FF"/>
        </w:rPr>
        <w:t xml:space="preserve">Consider the emotion, objectives and motivation of the character to influence your </w:t>
      </w:r>
      <w:r w:rsidRPr="23BD1D45" w:rsidR="485F5BFF">
        <w:rPr>
          <w:rFonts w:cs="Calibri" w:cstheme="minorAscii"/>
          <w:color w:val="000000" w:themeColor="text1" w:themeTint="FF" w:themeShade="FF"/>
        </w:rPr>
        <w:t>movements.</w:t>
      </w:r>
    </w:p>
    <w:p w:rsidR="23BD1D45" w:rsidP="23BD1D45" w:rsidRDefault="23BD1D45" w14:paraId="62600E02" w14:textId="42A3A5F5">
      <w:pPr>
        <w:pStyle w:val="Normal"/>
        <w:bidi w:val="0"/>
        <w:spacing w:before="0" w:beforeAutospacing="off" w:after="0" w:afterAutospacing="off" w:line="240" w:lineRule="auto"/>
        <w:ind w:left="0" w:right="0"/>
        <w:jc w:val="left"/>
        <w:rPr>
          <w:rFonts w:cs="Calibri" w:cstheme="minorAscii"/>
          <w:color w:val="000000" w:themeColor="text1" w:themeTint="FF" w:themeShade="FF"/>
        </w:rPr>
      </w:pPr>
    </w:p>
    <w:p w:rsidR="485F5BFF" w:rsidP="23BD1D45" w:rsidRDefault="485F5BFF" w14:paraId="5F4D5243" w14:textId="5463F502">
      <w:pPr>
        <w:pStyle w:val="Normal"/>
        <w:bidi w:val="0"/>
        <w:spacing w:before="0" w:beforeAutospacing="off" w:after="0" w:afterAutospacing="off" w:line="240" w:lineRule="auto"/>
        <w:ind w:left="0" w:right="0"/>
        <w:jc w:val="left"/>
        <w:rPr>
          <w:rFonts w:cs="Calibri" w:cstheme="minorAscii"/>
          <w:color w:val="000000" w:themeColor="text1" w:themeTint="FF" w:themeShade="FF"/>
        </w:rPr>
      </w:pPr>
      <w:r w:rsidRPr="23BD1D45" w:rsidR="485F5BFF">
        <w:rPr>
          <w:rFonts w:cs="Calibri" w:cstheme="minorAscii"/>
          <w:color w:val="000000" w:themeColor="text1" w:themeTint="FF" w:themeShade="FF"/>
        </w:rPr>
        <w:t>And finally...</w:t>
      </w:r>
    </w:p>
    <w:p w:rsidR="485F5BFF" w:rsidP="2B0F847C" w:rsidRDefault="485F5BFF" w14:paraId="2A12255C" w14:textId="59818FF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B0F847C" w:rsidR="4D2CD100">
        <w:rPr>
          <w:rFonts w:cs="Calibri" w:cstheme="minorAscii"/>
          <w:color w:val="000000" w:themeColor="text1" w:themeTint="FF" w:themeShade="FF"/>
        </w:rPr>
        <w:t xml:space="preserve">Task 8: </w:t>
      </w:r>
      <w:r w:rsidRPr="2B0F847C" w:rsidR="485F5BFF">
        <w:rPr>
          <w:rFonts w:cs="Calibri" w:cstheme="minorAscii"/>
          <w:color w:val="000000" w:themeColor="text1" w:themeTint="FF" w:themeShade="FF"/>
        </w:rPr>
        <w:t>Listen to the short audio article based on</w:t>
      </w:r>
      <w:r w:rsidRPr="2B0F847C" w:rsidR="182E6C33">
        <w:rPr>
          <w:rFonts w:cs="Calibri" w:cstheme="minorAscii"/>
          <w:color w:val="000000" w:themeColor="text1" w:themeTint="FF" w:themeShade="FF"/>
        </w:rPr>
        <w:t xml:space="preserve"> the </w:t>
      </w:r>
      <w:r w:rsidRPr="2B0F847C" w:rsidR="18B29E55">
        <w:rPr>
          <w:rFonts w:cs="Calibri" w:cstheme="minorAscii"/>
          <w:color w:val="000000" w:themeColor="text1" w:themeTint="FF" w:themeShade="FF"/>
        </w:rPr>
        <w:t>play ‘</w:t>
      </w:r>
      <w:r w:rsidRPr="2B0F847C" w:rsidR="485F5BFF">
        <w:rPr>
          <w:rFonts w:cs="Calibri" w:cstheme="minorAscii"/>
          <w:color w:val="000000" w:themeColor="text1" w:themeTint="FF" w:themeShade="FF"/>
        </w:rPr>
        <w:t>People, Places and Things’</w:t>
      </w:r>
      <w:r w:rsidRPr="2B0F847C" w:rsidR="26E07790">
        <w:rPr>
          <w:rFonts w:cs="Calibri" w:cstheme="minorAscii"/>
          <w:color w:val="000000" w:themeColor="text1" w:themeTint="FF" w:themeShade="FF"/>
        </w:rPr>
        <w:t xml:space="preserve"> (You will find this on a separate PPT slide entitled ‘Transition Task Something to Listen to</w:t>
      </w:r>
      <w:r w:rsidRPr="2B0F847C" w:rsidR="39602BBC">
        <w:rPr>
          <w:rFonts w:cs="Calibri" w:cstheme="minorAscii"/>
          <w:color w:val="000000" w:themeColor="text1" w:themeTint="FF" w:themeShade="FF"/>
        </w:rPr>
        <w:t>’)</w:t>
      </w:r>
    </w:p>
    <w:p w:rsidR="23BD1D45" w:rsidP="23BD1D45" w:rsidRDefault="23BD1D45" w14:paraId="0D3BF9E0" w14:textId="376AFDAD">
      <w:pPr>
        <w:pStyle w:val="Normal"/>
        <w:bidi w:val="0"/>
        <w:spacing w:before="0" w:beforeAutospacing="off" w:after="0" w:afterAutospacing="off" w:line="240" w:lineRule="auto"/>
        <w:ind w:left="426" w:right="0"/>
        <w:jc w:val="left"/>
        <w:rPr>
          <w:rFonts w:cs="Calibri" w:cstheme="minorAscii"/>
          <w:color w:val="000000" w:themeColor="text1" w:themeTint="FF" w:themeShade="FF"/>
        </w:rPr>
      </w:pPr>
    </w:p>
    <w:p xmlns:wp14="http://schemas.microsoft.com/office/word/2010/wordml" w:rsidRPr="00A81D72" w:rsidR="00A81D72" w:rsidP="00A81D72" w:rsidRDefault="00A81D72" w14:paraId="3BB71713" wp14:textId="77777777">
      <w:pPr>
        <w:spacing w:after="0" w:line="240" w:lineRule="auto"/>
        <w:rPr>
          <w:rFonts w:cstheme="minorHAnsi"/>
          <w:color w:val="000000" w:themeColor="text1"/>
        </w:rPr>
      </w:pPr>
      <w:r w:rsidRPr="00A81D72">
        <w:rPr>
          <w:rFonts w:cstheme="minorHAnsi"/>
          <w:color w:val="000000" w:themeColor="text1"/>
        </w:rPr>
        <w:lastRenderedPageBreak/>
        <w:t>Extension work:</w:t>
      </w:r>
    </w:p>
    <w:p xmlns:wp14="http://schemas.microsoft.com/office/word/2010/wordml" w:rsidR="00A81D72" w:rsidP="00A81D72" w:rsidRDefault="00A81D72" w14:paraId="21A45BF7" wp14:textId="77777777">
      <w:pPr>
        <w:pStyle w:val="ListParagraph"/>
        <w:numPr>
          <w:ilvl w:val="0"/>
          <w:numId w:val="1"/>
        </w:numPr>
        <w:spacing w:after="0" w:line="240" w:lineRule="auto"/>
        <w:rPr>
          <w:rFonts w:cstheme="minorHAnsi"/>
          <w:color w:val="000000" w:themeColor="text1"/>
        </w:rPr>
      </w:pPr>
      <w:r>
        <w:rPr>
          <w:rFonts w:cstheme="minorHAnsi"/>
          <w:color w:val="000000" w:themeColor="text1"/>
        </w:rPr>
        <w:t xml:space="preserve">Research the playwright Polly </w:t>
      </w:r>
      <w:proofErr w:type="spellStart"/>
      <w:r>
        <w:rPr>
          <w:rFonts w:cstheme="minorHAnsi"/>
          <w:color w:val="000000" w:themeColor="text1"/>
        </w:rPr>
        <w:t>Stenham</w:t>
      </w:r>
      <w:proofErr w:type="spellEnd"/>
      <w:r>
        <w:rPr>
          <w:rFonts w:cstheme="minorHAnsi"/>
          <w:color w:val="000000" w:themeColor="text1"/>
        </w:rPr>
        <w:t xml:space="preserve"> – make a note of any resources you find and summarise any information you find about her life and her work</w:t>
      </w:r>
    </w:p>
    <w:p xmlns:wp14="http://schemas.microsoft.com/office/word/2010/wordml" w:rsidRPr="007639EB" w:rsidR="0094042C" w:rsidP="2A01D4F6" w:rsidRDefault="0094042C" w14:paraId="2946DB82" wp14:textId="2255030A">
      <w:pPr>
        <w:pStyle w:val="ListParagraph"/>
        <w:numPr>
          <w:ilvl w:val="0"/>
          <w:numId w:val="1"/>
        </w:numPr>
        <w:spacing w:after="0" w:line="240" w:lineRule="auto"/>
        <w:ind/>
        <w:rPr>
          <w:rFonts w:cs="Calibri" w:cstheme="minorAscii"/>
          <w:color w:val="000000" w:themeColor="text1" w:themeTint="FF" w:themeShade="FF"/>
        </w:rPr>
      </w:pPr>
      <w:r w:rsidRPr="2A01D4F6" w:rsidR="00A81D72">
        <w:rPr>
          <w:rFonts w:cs="Calibri" w:cstheme="minorAscii"/>
          <w:color w:val="000000" w:themeColor="text1" w:themeTint="FF" w:themeShade="FF"/>
        </w:rPr>
        <w:t xml:space="preserve">Research Tracey </w:t>
      </w:r>
      <w:proofErr w:type="spellStart"/>
      <w:r w:rsidRPr="2A01D4F6" w:rsidR="00A81D72">
        <w:rPr>
          <w:rFonts w:cs="Calibri" w:cstheme="minorAscii"/>
          <w:color w:val="000000" w:themeColor="text1" w:themeTint="FF" w:themeShade="FF"/>
        </w:rPr>
        <w:t>Enim’s</w:t>
      </w:r>
      <w:proofErr w:type="spellEnd"/>
      <w:r w:rsidRPr="2A01D4F6" w:rsidR="00A81D72">
        <w:rPr>
          <w:rFonts w:cs="Calibri" w:cstheme="minorAscii"/>
          <w:color w:val="000000" w:themeColor="text1" w:themeTint="FF" w:themeShade="FF"/>
        </w:rPr>
        <w:t xml:space="preserve"> installation art piece ‘The Unmade Bed’ – find an image, explain what it is meant to represent, summarise how it was received by the general public and the art world and give your opinion on it.</w:t>
      </w:r>
    </w:p>
    <w:p w:rsidR="2A01D4F6" w:rsidP="2A01D4F6" w:rsidRDefault="2A01D4F6" w14:paraId="0D163F75" w14:textId="6831F10D">
      <w:pPr>
        <w:pStyle w:val="Normal"/>
        <w:spacing w:after="0" w:line="240" w:lineRule="auto"/>
        <w:ind w:left="0"/>
        <w:rPr>
          <w:rFonts w:cs="Calibri" w:cstheme="minorAscii"/>
          <w:color w:val="000000" w:themeColor="text1" w:themeTint="FF" w:themeShade="FF"/>
        </w:rPr>
      </w:pPr>
    </w:p>
    <w:sectPr w:rsidRPr="007639EB" w:rsidR="0094042C">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11974" w:rsidP="00656A97" w:rsidRDefault="00411974" w14:paraId="5997CC1D" wp14:textId="77777777">
      <w:pPr>
        <w:spacing w:after="0" w:line="240" w:lineRule="auto"/>
      </w:pPr>
      <w:r>
        <w:separator/>
      </w:r>
    </w:p>
  </w:endnote>
  <w:endnote w:type="continuationSeparator" w:id="0">
    <w:p xmlns:wp14="http://schemas.microsoft.com/office/word/2010/wordml" w:rsidR="00411974" w:rsidP="00656A97" w:rsidRDefault="00411974" w14:paraId="110FFD3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47550"/>
      <w:docPartObj>
        <w:docPartGallery w:val="Page Numbers (Bottom of Page)"/>
        <w:docPartUnique/>
      </w:docPartObj>
    </w:sdtPr>
    <w:sdtEndPr>
      <w:rPr>
        <w:noProof/>
      </w:rPr>
    </w:sdtEndPr>
    <w:sdtContent>
      <w:p xmlns:wp14="http://schemas.microsoft.com/office/word/2010/wordml" w:rsidR="00656A97" w:rsidRDefault="00656A97"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656A97" w:rsidRDefault="00656A97" w14:paraId="1F72F64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11974" w:rsidP="00656A97" w:rsidRDefault="00411974" w14:paraId="6B699379" wp14:textId="77777777">
      <w:pPr>
        <w:spacing w:after="0" w:line="240" w:lineRule="auto"/>
      </w:pPr>
      <w:r>
        <w:separator/>
      </w:r>
    </w:p>
  </w:footnote>
  <w:footnote w:type="continuationSeparator" w:id="0">
    <w:p xmlns:wp14="http://schemas.microsoft.com/office/word/2010/wordml" w:rsidR="00411974" w:rsidP="00656A97" w:rsidRDefault="00411974" w14:paraId="3FE9F23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AC108E"/>
    <w:multiLevelType w:val="hybridMultilevel"/>
    <w:tmpl w:val="08F4B54C"/>
    <w:lvl w:ilvl="0" w:tplc="29C0F4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E24CC"/>
    <w:multiLevelType w:val="hybridMultilevel"/>
    <w:tmpl w:val="CA280C68"/>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2" w15:restartNumberingAfterBreak="0">
    <w:nsid w:val="545E54F8"/>
    <w:multiLevelType w:val="hybridMultilevel"/>
    <w:tmpl w:val="D16A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EB"/>
    <w:rsid w:val="00411974"/>
    <w:rsid w:val="004B142B"/>
    <w:rsid w:val="00656A97"/>
    <w:rsid w:val="007639EB"/>
    <w:rsid w:val="0094042C"/>
    <w:rsid w:val="00A66456"/>
    <w:rsid w:val="00A81D72"/>
    <w:rsid w:val="00D63E37"/>
    <w:rsid w:val="019FB617"/>
    <w:rsid w:val="06E19ED0"/>
    <w:rsid w:val="0C818EDB"/>
    <w:rsid w:val="0D50E054"/>
    <w:rsid w:val="106F58B9"/>
    <w:rsid w:val="10F5852D"/>
    <w:rsid w:val="13A6F97B"/>
    <w:rsid w:val="13F1A5B2"/>
    <w:rsid w:val="1542C9DC"/>
    <w:rsid w:val="155BF239"/>
    <w:rsid w:val="182E6C33"/>
    <w:rsid w:val="18B29E55"/>
    <w:rsid w:val="18D75AFA"/>
    <w:rsid w:val="19F92D5D"/>
    <w:rsid w:val="1BF1EE1A"/>
    <w:rsid w:val="1C65BB34"/>
    <w:rsid w:val="1EE9AC22"/>
    <w:rsid w:val="1FA3C304"/>
    <w:rsid w:val="20F7E131"/>
    <w:rsid w:val="219079DA"/>
    <w:rsid w:val="22214CE4"/>
    <w:rsid w:val="23BD1D45"/>
    <w:rsid w:val="25EBDAF8"/>
    <w:rsid w:val="2633883C"/>
    <w:rsid w:val="26E07790"/>
    <w:rsid w:val="285A5869"/>
    <w:rsid w:val="291A51F6"/>
    <w:rsid w:val="2A01D4F6"/>
    <w:rsid w:val="2B0F847C"/>
    <w:rsid w:val="30CE2D75"/>
    <w:rsid w:val="3490CE03"/>
    <w:rsid w:val="34ADDBA5"/>
    <w:rsid w:val="39602BBC"/>
    <w:rsid w:val="3B922F37"/>
    <w:rsid w:val="4119B6BD"/>
    <w:rsid w:val="42178CC0"/>
    <w:rsid w:val="485F5BFF"/>
    <w:rsid w:val="4D2CD100"/>
    <w:rsid w:val="5108D84E"/>
    <w:rsid w:val="517439FE"/>
    <w:rsid w:val="5BFB1A51"/>
    <w:rsid w:val="60E6359F"/>
    <w:rsid w:val="616948E0"/>
    <w:rsid w:val="68F14784"/>
    <w:rsid w:val="6C01D39A"/>
    <w:rsid w:val="6DBB90F3"/>
    <w:rsid w:val="6E7954A0"/>
    <w:rsid w:val="713963F1"/>
    <w:rsid w:val="72A01750"/>
    <w:rsid w:val="7694ECBB"/>
    <w:rsid w:val="777C1390"/>
    <w:rsid w:val="77A08368"/>
    <w:rsid w:val="79952062"/>
    <w:rsid w:val="79B6FE48"/>
    <w:rsid w:val="79FB2E41"/>
    <w:rsid w:val="7BCC6420"/>
    <w:rsid w:val="7E4BED33"/>
    <w:rsid w:val="7FBC1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212F"/>
  <w15:chartTrackingRefBased/>
  <w15:docId w15:val="{65A2FE51-1218-44EF-9331-741EFA6CC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39EB"/>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39EB"/>
    <w:pPr>
      <w:ind w:left="720"/>
      <w:contextualSpacing/>
    </w:pPr>
  </w:style>
  <w:style w:type="character" w:styleId="Hyperlink">
    <w:name w:val="Hyperlink"/>
    <w:basedOn w:val="DefaultParagraphFont"/>
    <w:uiPriority w:val="99"/>
    <w:semiHidden/>
    <w:unhideWhenUsed/>
    <w:rsid w:val="007639EB"/>
    <w:rPr>
      <w:color w:val="0000FF"/>
      <w:u w:val="single"/>
    </w:rPr>
  </w:style>
  <w:style w:type="table" w:styleId="TableGrid">
    <w:name w:val="Table Grid"/>
    <w:basedOn w:val="TableNormal"/>
    <w:uiPriority w:val="39"/>
    <w:rsid w:val="00940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56A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6A97"/>
  </w:style>
  <w:style w:type="paragraph" w:styleId="Footer">
    <w:name w:val="footer"/>
    <w:basedOn w:val="Normal"/>
    <w:link w:val="FooterChar"/>
    <w:uiPriority w:val="99"/>
    <w:unhideWhenUsed/>
    <w:rsid w:val="00656A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9055">
      <w:bodyDiv w:val="1"/>
      <w:marLeft w:val="0"/>
      <w:marRight w:val="0"/>
      <w:marTop w:val="0"/>
      <w:marBottom w:val="0"/>
      <w:divBdr>
        <w:top w:val="none" w:sz="0" w:space="0" w:color="auto"/>
        <w:left w:val="none" w:sz="0" w:space="0" w:color="auto"/>
        <w:bottom w:val="none" w:sz="0" w:space="0" w:color="auto"/>
        <w:right w:val="none" w:sz="0" w:space="0" w:color="auto"/>
      </w:divBdr>
    </w:div>
    <w:div w:id="9181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qualifications.pearson.com/en/qualifications/edexcel-a-levels/drama-and-theatre-2016.coursematerials.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footer" Target="footer1.xml"/><Relationship Id="R88cd28dc1393401d" Type="http://schemas.openxmlformats.org/officeDocument/2006/relationships/glossaryDocument" Target="/word/glossary/document.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1EAEF-02B9-4DB6-BF30-645EE17B0BC7}">
      <dsp:nvSpPr>
        <dsp:cNvPr id="0" name=""/>
        <dsp:cNvSpPr/>
      </dsp:nvSpPr>
      <dsp:spPr>
        <a:xfrm>
          <a:off x="1931397" y="1052319"/>
          <a:ext cx="1337543" cy="1157029"/>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Theatre Makers </a:t>
          </a:r>
        </a:p>
      </dsp:txBody>
      <dsp:txXfrm>
        <a:off x="2153047" y="1244055"/>
        <a:ext cx="894243" cy="773557"/>
      </dsp:txXfrm>
    </dsp:sp>
    <dsp:sp modelId="{D575504A-16F2-4293-9BB2-73E69BF9658D}">
      <dsp:nvSpPr>
        <dsp:cNvPr id="0" name=""/>
        <dsp:cNvSpPr/>
      </dsp:nvSpPr>
      <dsp:spPr>
        <a:xfrm>
          <a:off x="2768956" y="498759"/>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8AFAA95-F1BE-47AD-B0C2-6CF918B23CBF}">
      <dsp:nvSpPr>
        <dsp:cNvPr id="0" name=""/>
        <dsp:cNvSpPr/>
      </dsp:nvSpPr>
      <dsp:spPr>
        <a:xfrm>
          <a:off x="2054604" y="0"/>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2236252" y="157147"/>
        <a:ext cx="732811" cy="633967"/>
      </dsp:txXfrm>
    </dsp:sp>
    <dsp:sp modelId="{DCC9F1EC-D8F5-4283-95F0-3D99CDFCF4DD}">
      <dsp:nvSpPr>
        <dsp:cNvPr id="0" name=""/>
        <dsp:cNvSpPr/>
      </dsp:nvSpPr>
      <dsp:spPr>
        <a:xfrm>
          <a:off x="3357924" y="1311648"/>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4F85D4D-9DBB-4AB7-91D4-48EC520BA19B}">
      <dsp:nvSpPr>
        <dsp:cNvPr id="0" name=""/>
        <dsp:cNvSpPr/>
      </dsp:nvSpPr>
      <dsp:spPr>
        <a:xfrm>
          <a:off x="3059862" y="583244"/>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3241510" y="740391"/>
        <a:ext cx="732811" cy="633967"/>
      </dsp:txXfrm>
    </dsp:sp>
    <dsp:sp modelId="{3706AA3A-135A-4D79-A61B-6F63CFD49F0B}">
      <dsp:nvSpPr>
        <dsp:cNvPr id="0" name=""/>
        <dsp:cNvSpPr/>
      </dsp:nvSpPr>
      <dsp:spPr>
        <a:xfrm>
          <a:off x="2948789" y="2229247"/>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FF6786A-61CE-45A9-86CA-55CA11292FFF}">
      <dsp:nvSpPr>
        <dsp:cNvPr id="0" name=""/>
        <dsp:cNvSpPr/>
      </dsp:nvSpPr>
      <dsp:spPr>
        <a:xfrm>
          <a:off x="3059862" y="1729835"/>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3241510" y="1886982"/>
        <a:ext cx="732811" cy="633967"/>
      </dsp:txXfrm>
    </dsp:sp>
    <dsp:sp modelId="{E9584203-CCE8-48B8-9021-1C462FA301C7}">
      <dsp:nvSpPr>
        <dsp:cNvPr id="0" name=""/>
        <dsp:cNvSpPr/>
      </dsp:nvSpPr>
      <dsp:spPr>
        <a:xfrm>
          <a:off x="1933886" y="2324497"/>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C134562-0CD8-4C7C-951C-B3E78A65706A}">
      <dsp:nvSpPr>
        <dsp:cNvPr id="0" name=""/>
        <dsp:cNvSpPr/>
      </dsp:nvSpPr>
      <dsp:spPr>
        <a:xfrm>
          <a:off x="2054604" y="2313733"/>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2236252" y="2470880"/>
        <a:ext cx="732811" cy="633967"/>
      </dsp:txXfrm>
    </dsp:sp>
    <dsp:sp modelId="{5B4B4FC0-557B-4A61-A39B-93A72F038C3B}">
      <dsp:nvSpPr>
        <dsp:cNvPr id="0" name=""/>
        <dsp:cNvSpPr/>
      </dsp:nvSpPr>
      <dsp:spPr>
        <a:xfrm>
          <a:off x="1335274" y="1511934"/>
          <a:ext cx="504651" cy="434823"/>
        </a:xfrm>
        <a:prstGeom prst="hexagon">
          <a:avLst>
            <a:gd name="adj" fmla="val 28900"/>
            <a:gd name="vf" fmla="val 115470"/>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46EFA73-F396-479C-8450-F0482D839DC3}">
      <dsp:nvSpPr>
        <dsp:cNvPr id="0" name=""/>
        <dsp:cNvSpPr/>
      </dsp:nvSpPr>
      <dsp:spPr>
        <a:xfrm>
          <a:off x="1044679" y="1730488"/>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1226327" y="1887635"/>
        <a:ext cx="732811" cy="633967"/>
      </dsp:txXfrm>
    </dsp:sp>
    <dsp:sp modelId="{360BBCE1-C442-417E-B55F-4928E920E26A}">
      <dsp:nvSpPr>
        <dsp:cNvPr id="0" name=""/>
        <dsp:cNvSpPr/>
      </dsp:nvSpPr>
      <dsp:spPr>
        <a:xfrm>
          <a:off x="1044679" y="581939"/>
          <a:ext cx="1096107" cy="948261"/>
        </a:xfrm>
        <a:prstGeom prst="hexagon">
          <a:avLst>
            <a:gd name="adj" fmla="val 28570"/>
            <a:gd name="vf" fmla="val 11547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 </a:t>
          </a:r>
        </a:p>
      </dsp:txBody>
      <dsp:txXfrm>
        <a:off x="1226327" y="739086"/>
        <a:ext cx="732811" cy="633967"/>
      </dsp:txXfrm>
    </dsp:sp>
  </dsp:spTree>
</dsp:drawing>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811ded-6f26-41fe-8d49-c9630246938e}"/>
      </w:docPartPr>
      <w:docPartBody>
        <w:p w14:paraId="50C6A4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85F71-D72E-4231-B069-4952DFEEDCE6}"/>
</file>

<file path=customXml/itemProps2.xml><?xml version="1.0" encoding="utf-8"?>
<ds:datastoreItem xmlns:ds="http://schemas.openxmlformats.org/officeDocument/2006/customXml" ds:itemID="{776F73DE-1822-48D8-A109-E1B7A2587921}"/>
</file>

<file path=customXml/itemProps3.xml><?xml version="1.0" encoding="utf-8"?>
<ds:datastoreItem xmlns:ds="http://schemas.openxmlformats.org/officeDocument/2006/customXml" ds:itemID="{B9C6D5D0-29EC-4194-A72B-3BAADBDA80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st-marys.internal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dc:creator>
  <cp:keywords/>
  <dc:description/>
  <cp:lastModifiedBy>Georgette Mathews</cp:lastModifiedBy>
  <cp:revision>7</cp:revision>
  <dcterms:created xsi:type="dcterms:W3CDTF">2020-04-17T14:42:00Z</dcterms:created>
  <dcterms:modified xsi:type="dcterms:W3CDTF">2021-06-29T15:02:07Z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